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Developing a Thesis: part I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60" w:lineRule="auto"/>
        <w:contextualSpacing w:val="0"/>
        <w:rPr>
          <w:rFonts w:ascii="Verdana" w:cs="Verdana" w:eastAsia="Verdana" w:hAnsi="Verdana"/>
          <w:sz w:val="36"/>
          <w:szCs w:val="36"/>
        </w:rPr>
      </w:pPr>
      <w:r w:rsidDel="00000000" w:rsidR="00000000" w:rsidRPr="00000000">
        <w:rPr>
          <w:rFonts w:ascii="Verdana" w:cs="Verdana" w:eastAsia="Verdana" w:hAnsi="Verdana"/>
          <w:sz w:val="36"/>
          <w:szCs w:val="36"/>
          <w:rtl w:val="0"/>
        </w:rPr>
        <w:t xml:space="preserve">Thesis Statements 101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Myths about thesis statements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Thesis statements have to be one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Thesis statements have to have a three-pronged structure that sets up the three main body paragraphs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Thesis statements should be written first in the writing process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Thesis statements should be placed at the end of the first 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The thesis statement should summarize your whole essay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The non-thesis thesis.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 thesis needs to take a position on an issue. It is different from a topic sentence in that a thesis statement is not neutral.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Bad: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This paper will consider the applications and limits of video game learning theory in the 21st century college classroom as regards reward, risk-taking, and interaction.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Better: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Although many video game learning strategies are already present in many college classrooms, perhaps the most controversial and most promising technique unique to video games is that of risk-taking.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The incontestable 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 thesis must be arguable. And in order for it to be arguable, it must present a view that someone might reasonably contest. Sometimes a thesis ultimately says, "we should be good," or "bad things are bad." Such thesis statements are tautological or so universally accepted that there is no need to prove the 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Bad: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Cheating is a serious problem at the high school level and one cause is bad parenting.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Better: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Cheating is not simply a problem in America’s high schools; it is a learned behavior that may have serious implications for people’s future social relationships and workplace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The overly broad 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It is not possible to write a good college-level paper about the history of California in a five-page paper. Besides choosing simply a smaller topic, you can narrow your thesis by specifying a method or perspective or delineating certain limits.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Bad: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Cheating is caused by lack of parenting and the best solution to this problem is to tax parents whose children cheat.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Better: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Although 21st century technology might seem the most important cause of cheating, a more fundamental problem has to do with parents of high schoolers who put too much pressure on their children to excel in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The "list essay" 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 good argumentative thesis provides not only a position on an issue, but also suggests the structure of the paper. The thesis should allow the reader to imagine and anticipate the flow of the paper, in which a sequence of points logically prove the essay's main assertion. A list essay provides no such structure, so that different points and paragraphs appear arbitrary with no logical connection to one another.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Bad: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There are many ways that video games could enhance education, including system thinking, collaborative tasks, and what James Paul Gee calls “situated meanings.”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Better: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Among the many learning tools James Paul Gee in video games, the most significant ones—system thinking, collaborative tasks, and situated meanings--all share in increasing degree an emphasis on seeing information as a whole, rather than disconnected facts and ideas as education is usually taught.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color w:val="1155cc"/>
          <w:u w:val="single"/>
        </w:rPr>
      </w:pPr>
      <w:r w:rsidDel="00000000" w:rsidR="00000000" w:rsidRPr="00000000">
        <w:fldChar w:fldCharType="begin"/>
        <w:instrText xml:space="preserve"> HYPERLINK "http://angel.southseattle.edu/AngelUploads/Content/WAOL_OCLMASTERENGL9Y/_assoc/B1AAEE1D3EEA451B852A8C8FCBB5F8D0/#_edn1" </w:instrText>
        <w:fldChar w:fldCharType="separate"/>
      </w:r>
      <w:r w:rsidDel="00000000" w:rsidR="00000000" w:rsidRPr="00000000">
        <w:rPr>
          <w:rFonts w:ascii="Verdana" w:cs="Verdana" w:eastAsia="Verdana" w:hAnsi="Verdana"/>
          <w:color w:val="1155cc"/>
          <w:u w:val="single"/>
          <w:rtl w:val="0"/>
        </w:rPr>
        <w:t xml:space="preserve">[i]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[i]</w:t>
        </w:r>
      </w:hyperlink>
      <w:r w:rsidDel="00000000" w:rsidR="00000000" w:rsidRPr="00000000">
        <w:rPr>
          <w:rtl w:val="0"/>
        </w:rPr>
        <w:t xml:space="preserve"> The section on the thesis statements was created by Mark Fullmer, and is licensed under a Creative Commons Attribution-Share Alike 3.0 License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AngelUploads/Content/WAOL_OCLMASTERENGL9Y/_assoc/B1AAEE1D3EEA451B852A8C8FCBB5F8D0/#_ednr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